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0174EC56" w14:textId="66D55F44"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AE1096" w:rsidRPr="00AE1096">
        <w:rPr>
          <w:rFonts w:ascii="Calibri" w:hAnsi="Calibri" w:cs="Calibri"/>
        </w:rPr>
        <w:t xml:space="preserve"> </w:t>
      </w:r>
      <w:r w:rsidR="00AE1096" w:rsidRPr="006802CE">
        <w:rPr>
          <w:rFonts w:ascii="Calibri" w:hAnsi="Calibri" w:cs="Calibri"/>
        </w:rPr>
        <w:t>June 7 through August 13</w:t>
      </w:r>
      <w:r w:rsidR="00AE1096">
        <w:rPr>
          <w:rFonts w:ascii="Calibri" w:hAnsi="Calibri" w:cs="Calibri"/>
        </w:rPr>
        <w:t>, 2021</w:t>
      </w:r>
    </w:p>
    <w:p w14:paraId="6D6D3481" w14:textId="0F941A75" w:rsidR="009253BB" w:rsidRDefault="005355BF" w:rsidP="009253BB">
      <w:pPr>
        <w:spacing w:line="276" w:lineRule="auto"/>
        <w:outlineLvl w:val="0"/>
        <w:rPr>
          <w:rFonts w:cstheme="minorHAnsi"/>
        </w:rPr>
      </w:pPr>
      <w:r w:rsidRPr="00146773">
        <w:rPr>
          <w:rFonts w:cstheme="minorHAnsi"/>
          <w:u w:val="single"/>
        </w:rPr>
        <w:t>Location</w:t>
      </w:r>
      <w:r w:rsidRPr="00146773">
        <w:rPr>
          <w:rFonts w:cstheme="minorHAnsi"/>
        </w:rPr>
        <w:t xml:space="preserve">: </w:t>
      </w:r>
      <w:r w:rsidR="009253BB" w:rsidRPr="009253BB">
        <w:rPr>
          <w:rFonts w:cstheme="minorHAnsi"/>
        </w:rPr>
        <w:t xml:space="preserve">Based on the ever-changing campus response to COVID student projects can be conducted in-person, virtually or hybrid depending on safety, feasibility and campus protocol. </w:t>
      </w:r>
      <w:r w:rsidR="009253BB" w:rsidRPr="009253BB">
        <w:rPr>
          <w:rFonts w:cstheme="minorHAnsi"/>
          <w:b/>
          <w:bCs/>
        </w:rPr>
        <w:t xml:space="preserve">This internship will be virtual. </w:t>
      </w:r>
      <w:r w:rsidR="009253BB" w:rsidRPr="009253BB">
        <w:rPr>
          <w:rFonts w:cstheme="minorHAnsi"/>
        </w:rPr>
        <w:t>If it becomes safe, feasible, and allowed through campus protocol, working in person will take place at the</w:t>
      </w:r>
      <w:r w:rsidR="009253BB" w:rsidRPr="009253BB">
        <w:rPr>
          <w:rFonts w:cstheme="minorHAnsi"/>
          <w:b/>
          <w:bCs/>
        </w:rPr>
        <w:t xml:space="preserve"> </w:t>
      </w:r>
      <w:r w:rsidR="009253BB" w:rsidRPr="009253BB">
        <w:rPr>
          <w:rFonts w:cstheme="minorHAnsi"/>
        </w:rPr>
        <w:t>Center for Experimental and Applied Economics, Townsend Hall, University of Delaware, Newark, DE 19711</w:t>
      </w:r>
    </w:p>
    <w:p w14:paraId="3FC7C489" w14:textId="77777777" w:rsidR="009253BB" w:rsidRPr="009253BB" w:rsidRDefault="009253BB" w:rsidP="009253BB">
      <w:pPr>
        <w:spacing w:line="276" w:lineRule="auto"/>
        <w:outlineLvl w:val="0"/>
        <w:rPr>
          <w:rFonts w:cstheme="minorHAnsi"/>
        </w:rPr>
      </w:pPr>
    </w:p>
    <w:p w14:paraId="20CCFA36" w14:textId="11843612"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2A794D54"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C84409">
        <w:rPr>
          <w:rFonts w:cstheme="minorHAnsi"/>
        </w:rPr>
        <w:t>Dr. Kent Messer</w:t>
      </w:r>
    </w:p>
    <w:p w14:paraId="0E9269B7" w14:textId="0FBAA3C2"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r w:rsidR="00790065">
        <w:rPr>
          <w:rFonts w:cstheme="minorHAnsi"/>
        </w:rPr>
        <w:t xml:space="preserve"> Dr. Sean </w:t>
      </w:r>
      <w:r w:rsidR="00DF1471">
        <w:rPr>
          <w:rFonts w:cstheme="minorHAnsi"/>
        </w:rPr>
        <w:t xml:space="preserve">F. </w:t>
      </w:r>
      <w:r w:rsidR="00790065">
        <w:rPr>
          <w:rFonts w:cstheme="minorHAnsi"/>
        </w:rPr>
        <w:t>Ellis</w:t>
      </w:r>
      <w:r w:rsidR="00DF1471">
        <w:rPr>
          <w:rFonts w:cstheme="minorHAnsi"/>
        </w:rPr>
        <w:t xml:space="preserve"> </w:t>
      </w:r>
    </w:p>
    <w:p w14:paraId="278FED4F" w14:textId="77777777" w:rsidR="00522226" w:rsidRPr="00146773" w:rsidRDefault="00522226" w:rsidP="003361A9">
      <w:pPr>
        <w:spacing w:line="276" w:lineRule="auto"/>
        <w:rPr>
          <w:rFonts w:cstheme="minorHAnsi"/>
        </w:rPr>
      </w:pPr>
    </w:p>
    <w:p w14:paraId="0C030150" w14:textId="0418CACA" w:rsidR="0037032E" w:rsidRPr="00790065" w:rsidRDefault="001B04C1" w:rsidP="00E703E7">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9253BB">
        <w:rPr>
          <w:rFonts w:cstheme="minorHAnsi"/>
        </w:rPr>
        <w:t xml:space="preserve">Drivers of </w:t>
      </w:r>
      <w:r w:rsidR="008C32AB">
        <w:rPr>
          <w:rFonts w:cstheme="minorHAnsi"/>
        </w:rPr>
        <w:t xml:space="preserve">Farmers’ Persistence with </w:t>
      </w:r>
      <w:r w:rsidR="00B20A75">
        <w:rPr>
          <w:rFonts w:cstheme="minorHAnsi"/>
        </w:rPr>
        <w:t>Cover Cropping</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26ED3F11" w14:textId="6ECFB8A8" w:rsidR="004555AD" w:rsidRDefault="00790065" w:rsidP="009514EE">
      <w:pPr>
        <w:rPr>
          <w:rFonts w:cstheme="minorHAnsi"/>
        </w:rPr>
      </w:pPr>
      <w:r w:rsidRPr="00790065">
        <w:rPr>
          <w:rFonts w:cstheme="minorHAnsi"/>
        </w:rPr>
        <w:t>This project will</w:t>
      </w:r>
      <w:r w:rsidR="008C32AB">
        <w:rPr>
          <w:rFonts w:cstheme="minorHAnsi"/>
        </w:rPr>
        <w:t xml:space="preserve"> merge several federal administrative datasets </w:t>
      </w:r>
      <w:r w:rsidRPr="00790065">
        <w:rPr>
          <w:rFonts w:cstheme="minorHAnsi"/>
        </w:rPr>
        <w:t xml:space="preserve">to evaluate persistence of </w:t>
      </w:r>
      <w:r w:rsidR="00B20A75">
        <w:rPr>
          <w:rFonts w:cstheme="minorHAnsi"/>
        </w:rPr>
        <w:t>cover cropping</w:t>
      </w:r>
      <w:r w:rsidR="00324084">
        <w:rPr>
          <w:rFonts w:cstheme="minorHAnsi"/>
        </w:rPr>
        <w:t xml:space="preserve"> </w:t>
      </w:r>
      <w:r w:rsidR="00324084" w:rsidRPr="00790065">
        <w:rPr>
          <w:rFonts w:cstheme="minorHAnsi"/>
        </w:rPr>
        <w:t>by farmers after initial adoption</w:t>
      </w:r>
      <w:r w:rsidR="008C32AB">
        <w:rPr>
          <w:rFonts w:cstheme="minorHAnsi"/>
        </w:rPr>
        <w:t>, including what drives persistence</w:t>
      </w:r>
      <w:r w:rsidR="00B20A75">
        <w:rPr>
          <w:rFonts w:cstheme="minorHAnsi"/>
        </w:rPr>
        <w:t xml:space="preserve"> and/or what prevents it</w:t>
      </w:r>
      <w:r w:rsidRPr="00790065">
        <w:rPr>
          <w:rFonts w:cstheme="minorHAnsi"/>
        </w:rPr>
        <w:t xml:space="preserve">. </w:t>
      </w:r>
      <w:r w:rsidR="00324084">
        <w:rPr>
          <w:rFonts w:cstheme="minorHAnsi"/>
        </w:rPr>
        <w:t>C</w:t>
      </w:r>
      <w:r w:rsidRPr="00790065">
        <w:rPr>
          <w:rFonts w:cstheme="minorHAnsi"/>
        </w:rPr>
        <w:t>over cropping minimizes nitrogen and phosphorus loss from soil, as well as prevents these chemicals and other sediments from polluting surface water and the surrounding environment. Although cover cropping is a proven and effective practice, persistence after initial adoption remains unknown</w:t>
      </w:r>
      <w:r w:rsidR="008C32AB">
        <w:rPr>
          <w:rFonts w:cstheme="minorHAnsi"/>
        </w:rPr>
        <w:t xml:space="preserve"> as does what drives or prevents it</w:t>
      </w:r>
      <w:r w:rsidRPr="00790065">
        <w:rPr>
          <w:rFonts w:cstheme="minorHAnsi"/>
        </w:rPr>
        <w:t>.</w:t>
      </w:r>
    </w:p>
    <w:p w14:paraId="05769B9F" w14:textId="77777777" w:rsidR="000257EA" w:rsidRDefault="000257EA" w:rsidP="009514EE">
      <w:pPr>
        <w:rPr>
          <w:rFonts w:cstheme="minorHAnsi"/>
        </w:rPr>
      </w:pPr>
    </w:p>
    <w:p w14:paraId="26CABD28" w14:textId="5F25A699" w:rsidR="00790065" w:rsidRPr="00790065" w:rsidRDefault="003807C0" w:rsidP="00790065">
      <w:pPr>
        <w:rPr>
          <w:rFonts w:cstheme="minorHAnsi"/>
        </w:rPr>
      </w:pPr>
      <w:r w:rsidRPr="00146773">
        <w:rPr>
          <w:rFonts w:cstheme="minorHAnsi"/>
          <w:b/>
        </w:rPr>
        <w:t xml:space="preserve">Research </w:t>
      </w:r>
      <w:r w:rsidR="00790065">
        <w:rPr>
          <w:rFonts w:cstheme="minorHAnsi"/>
          <w:b/>
        </w:rPr>
        <w:t>Objectives</w:t>
      </w:r>
      <w:r w:rsidRPr="00146773">
        <w:rPr>
          <w:rFonts w:cstheme="minorHAnsi"/>
          <w:b/>
        </w:rPr>
        <w:t xml:space="preserve">: </w:t>
      </w:r>
    </w:p>
    <w:p w14:paraId="4AC77DA0" w14:textId="39D83710" w:rsidR="00790065" w:rsidRPr="00790065" w:rsidRDefault="00232CCD" w:rsidP="00790065">
      <w:pPr>
        <w:pStyle w:val="ListParagraph"/>
        <w:numPr>
          <w:ilvl w:val="0"/>
          <w:numId w:val="4"/>
        </w:numPr>
        <w:rPr>
          <w:rFonts w:cstheme="minorHAnsi"/>
        </w:rPr>
      </w:pPr>
      <w:r>
        <w:rPr>
          <w:rFonts w:cstheme="minorHAnsi"/>
        </w:rPr>
        <w:t xml:space="preserve">Process and analyze </w:t>
      </w:r>
      <w:r w:rsidR="008C32AB">
        <w:rPr>
          <w:rFonts w:cstheme="minorHAnsi"/>
        </w:rPr>
        <w:t>administrative data</w:t>
      </w:r>
      <w:r>
        <w:rPr>
          <w:rFonts w:cstheme="minorHAnsi"/>
        </w:rPr>
        <w:t xml:space="preserve"> using </w:t>
      </w:r>
      <w:r w:rsidR="008C32AB">
        <w:rPr>
          <w:rFonts w:cstheme="minorHAnsi"/>
        </w:rPr>
        <w:t xml:space="preserve">SAS, </w:t>
      </w:r>
      <w:r>
        <w:rPr>
          <w:rFonts w:cstheme="minorHAnsi"/>
        </w:rPr>
        <w:t xml:space="preserve">Stata and/or R. </w:t>
      </w:r>
    </w:p>
    <w:p w14:paraId="31760AD7" w14:textId="7AFF7791" w:rsidR="00790065" w:rsidRDefault="008C32AB" w:rsidP="00BA747C">
      <w:pPr>
        <w:pStyle w:val="ListParagraph"/>
        <w:numPr>
          <w:ilvl w:val="0"/>
          <w:numId w:val="4"/>
        </w:numPr>
        <w:rPr>
          <w:rFonts w:cstheme="minorHAnsi"/>
        </w:rPr>
      </w:pPr>
      <w:r w:rsidRPr="008C32AB">
        <w:rPr>
          <w:rFonts w:cstheme="minorHAnsi"/>
        </w:rPr>
        <w:t xml:space="preserve">Read and synthesize </w:t>
      </w:r>
      <w:r>
        <w:rPr>
          <w:rFonts w:cstheme="minorHAnsi"/>
        </w:rPr>
        <w:t xml:space="preserve">the </w:t>
      </w:r>
      <w:r w:rsidRPr="008C32AB">
        <w:rPr>
          <w:rFonts w:cstheme="minorHAnsi"/>
        </w:rPr>
        <w:t>literature on best management practice persistence and the broader persistence phenomenon literature</w:t>
      </w:r>
      <w:r w:rsidR="00790065" w:rsidRPr="008C32AB">
        <w:rPr>
          <w:rFonts w:cstheme="minorHAnsi"/>
        </w:rPr>
        <w:t>.</w:t>
      </w:r>
      <w:r w:rsidR="00745E17" w:rsidRPr="008C32AB">
        <w:rPr>
          <w:rFonts w:cstheme="minorHAnsi"/>
        </w:rPr>
        <w:t xml:space="preserve"> </w:t>
      </w:r>
    </w:p>
    <w:p w14:paraId="359AF7E7" w14:textId="2924762A" w:rsidR="008C32AB" w:rsidRDefault="008C32AB" w:rsidP="00BA747C">
      <w:pPr>
        <w:pStyle w:val="ListParagraph"/>
        <w:numPr>
          <w:ilvl w:val="0"/>
          <w:numId w:val="4"/>
        </w:numPr>
        <w:rPr>
          <w:rFonts w:cstheme="minorHAnsi"/>
        </w:rPr>
      </w:pPr>
      <w:r>
        <w:rPr>
          <w:rFonts w:cstheme="minorHAnsi"/>
        </w:rPr>
        <w:t>Help assemble a longitudinal panel dataset from</w:t>
      </w:r>
      <w:r w:rsidR="00B20A75">
        <w:rPr>
          <w:rFonts w:cstheme="minorHAnsi"/>
        </w:rPr>
        <w:t xml:space="preserve"> the administrative data of</w:t>
      </w:r>
      <w:r>
        <w:rPr>
          <w:rFonts w:cstheme="minorHAnsi"/>
        </w:rPr>
        <w:t xml:space="preserve"> multiple federal government agencies. </w:t>
      </w:r>
    </w:p>
    <w:p w14:paraId="5A599F6E" w14:textId="77777777" w:rsidR="008C32AB" w:rsidRPr="008C32AB" w:rsidRDefault="008C32AB" w:rsidP="008C32AB">
      <w:pPr>
        <w:pStyle w:val="ListParagraph"/>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4708A76E"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sidR="00FF6C87">
        <w:rPr>
          <w:rFonts w:cstheme="minorHAnsi"/>
        </w:rPr>
        <w:t>s</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65E5CD5" w14:textId="6D170CA3" w:rsidR="00E703E7" w:rsidRDefault="00E703E7" w:rsidP="00E703E7">
      <w:pPr>
        <w:pStyle w:val="ListParagraph"/>
        <w:numPr>
          <w:ilvl w:val="0"/>
          <w:numId w:val="3"/>
        </w:numPr>
        <w:rPr>
          <w:rFonts w:cstheme="minorHAnsi"/>
        </w:rPr>
      </w:pPr>
      <w:r>
        <w:rPr>
          <w:rFonts w:cstheme="minorHAnsi"/>
        </w:rPr>
        <w:t>Randomized controlled trial related to recruiting diverse students</w:t>
      </w:r>
    </w:p>
    <w:p w14:paraId="6D98769E" w14:textId="12432DEF" w:rsidR="00045ECD" w:rsidRPr="00045ECD" w:rsidRDefault="00045ECD" w:rsidP="00045ECD">
      <w:pPr>
        <w:pStyle w:val="ListParagraph"/>
        <w:numPr>
          <w:ilvl w:val="0"/>
          <w:numId w:val="3"/>
        </w:numPr>
        <w:rPr>
          <w:rFonts w:cstheme="minorHAnsi"/>
        </w:rPr>
      </w:pPr>
      <w:r w:rsidRPr="00045ECD">
        <w:rPr>
          <w:rFonts w:cstheme="minorHAnsi"/>
        </w:rPr>
        <w:t>Homeowners’ willingness-to-pay for stormwater best management practices in</w:t>
      </w:r>
      <w:r>
        <w:rPr>
          <w:rFonts w:cstheme="minorHAnsi"/>
        </w:rPr>
        <w:t xml:space="preserve"> </w:t>
      </w:r>
      <w:r w:rsidRPr="00045ECD">
        <w:rPr>
          <w:rFonts w:cstheme="minorHAnsi"/>
        </w:rPr>
        <w:t>Delaware</w:t>
      </w:r>
      <w:r w:rsidRPr="00045ECD">
        <w:rPr>
          <w:rFonts w:cstheme="minorHAnsi"/>
          <w:highlight w:val="yellow"/>
        </w:rPr>
        <w:t xml:space="preserve"> </w:t>
      </w:r>
    </w:p>
    <w:p w14:paraId="6407A76A" w14:textId="05A22643" w:rsidR="000257EA" w:rsidRPr="00EA3265" w:rsidRDefault="000257EA" w:rsidP="009514EE">
      <w:pPr>
        <w:pStyle w:val="ListParagraph"/>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Work with lab team and broader Social Dimensions and Project WiCCED team to develop professional </w:t>
            </w:r>
            <w:proofErr w:type="gramStart"/>
            <w:r>
              <w:rPr>
                <w:rFonts w:cstheme="minorHAnsi"/>
                <w:sz w:val="20"/>
              </w:rPr>
              <w:t>network, and</w:t>
            </w:r>
            <w:proofErr w:type="gramEnd"/>
            <w:r>
              <w:rPr>
                <w:rFonts w:cstheme="minorHAnsi"/>
                <w:sz w:val="20"/>
              </w:rPr>
              <w:t xml:space="preserve">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0E26664B" w14:textId="77777777"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6736BB8" w14:textId="35FE61EC" w:rsidR="00E703E7" w:rsidRDefault="003E2E81" w:rsidP="009514EE">
      <w:pPr>
        <w:rPr>
          <w:rFonts w:cstheme="minorHAnsi"/>
        </w:rPr>
      </w:pPr>
      <w:r>
        <w:rPr>
          <w:rFonts w:cstheme="minorHAnsi"/>
        </w:rPr>
        <w:t xml:space="preserve">Experience with </w:t>
      </w:r>
      <w:r w:rsidR="008C32AB">
        <w:rPr>
          <w:rFonts w:cstheme="minorHAnsi"/>
        </w:rPr>
        <w:t xml:space="preserve">SAS, </w:t>
      </w:r>
      <w:r w:rsidR="00232CCD">
        <w:rPr>
          <w:rFonts w:cstheme="minorHAnsi"/>
        </w:rPr>
        <w:t>Stata and/or R</w:t>
      </w:r>
      <w:r w:rsidR="0038610D">
        <w:rPr>
          <w:rFonts w:cstheme="minorHAnsi"/>
        </w:rPr>
        <w:t xml:space="preserve"> is </w:t>
      </w:r>
      <w:r w:rsidR="00C862A2">
        <w:rPr>
          <w:rFonts w:cstheme="minorHAnsi"/>
        </w:rPr>
        <w:t>preferred</w:t>
      </w:r>
      <w:r>
        <w:rPr>
          <w:rFonts w:cstheme="minorHAnsi"/>
        </w:rPr>
        <w:t>.</w:t>
      </w:r>
      <w:r w:rsidR="00C862A2">
        <w:rPr>
          <w:rFonts w:cstheme="minorHAnsi"/>
        </w:rPr>
        <w:t xml:space="preserve"> A willingness to learn both is required.</w:t>
      </w:r>
      <w:r>
        <w:rPr>
          <w:rFonts w:cstheme="minorHAnsi"/>
        </w:rPr>
        <w:t xml:space="preserve"> </w:t>
      </w:r>
      <w:r w:rsidR="0038610D">
        <w:rPr>
          <w:rFonts w:cstheme="minorHAnsi"/>
        </w:rPr>
        <w:t xml:space="preserve">Other coding experience, such as shell scripting, is a plus. </w:t>
      </w:r>
      <w:r w:rsidRPr="003E2E81">
        <w:rPr>
          <w:rFonts w:cstheme="minorHAnsi"/>
        </w:rPr>
        <w:t>Introductory experience with economics (e.g., successful completion of APEC 100, APEC 150, ECON 101, or similar course)</w:t>
      </w:r>
      <w:r>
        <w:rPr>
          <w:rFonts w:cstheme="minorHAnsi"/>
        </w:rPr>
        <w:t xml:space="preserve"> is </w:t>
      </w:r>
      <w:r w:rsidR="00232CCD">
        <w:rPr>
          <w:rFonts w:cstheme="minorHAnsi"/>
        </w:rPr>
        <w:t>required</w:t>
      </w:r>
      <w:r>
        <w:rPr>
          <w:rFonts w:cstheme="minorHAnsi"/>
        </w:rPr>
        <w:t xml:space="preserve">. </w:t>
      </w:r>
      <w:r w:rsidR="007339E3">
        <w:rPr>
          <w:rFonts w:cstheme="minorHAnsi"/>
        </w:rPr>
        <w:t xml:space="preserve">Other economics courses are a plus. </w:t>
      </w:r>
    </w:p>
    <w:p w14:paraId="77DB5170" w14:textId="77777777" w:rsidR="003E2E81" w:rsidRPr="00146773" w:rsidRDefault="003E2E81"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565B28F6"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AE1096" w:rsidRPr="00BF381B">
        <w:rPr>
          <w:rFonts w:ascii="Calibri" w:hAnsi="Calibri" w:cs="Calibri"/>
        </w:rPr>
        <w:t xml:space="preserve">Work will primarily take place </w:t>
      </w:r>
      <w:r w:rsidR="00AE1096">
        <w:rPr>
          <w:rFonts w:ascii="Calibri" w:hAnsi="Calibri" w:cs="Calibri"/>
          <w:b/>
          <w:bCs/>
        </w:rPr>
        <w:t>on zoom</w:t>
      </w:r>
      <w:r w:rsidR="00AE1096" w:rsidRPr="00BF381B">
        <w:rPr>
          <w:rFonts w:ascii="Calibri" w:hAnsi="Calibri" w:cs="Calibri"/>
        </w:rPr>
        <w:t>. Hours are flexibly determined between student and mentor.</w:t>
      </w:r>
    </w:p>
    <w:p w14:paraId="702A6468" w14:textId="77777777" w:rsidR="00F62029" w:rsidRPr="00146773" w:rsidRDefault="00F62029" w:rsidP="009514EE">
      <w:pPr>
        <w:rPr>
          <w:rFonts w:cstheme="minorHAnsi"/>
        </w:rPr>
      </w:pPr>
    </w:p>
    <w:p w14:paraId="297C34FE" w14:textId="1F9E47D6" w:rsidR="00F62029" w:rsidRPr="00146773" w:rsidRDefault="00F62029" w:rsidP="003E2E81">
      <w:pPr>
        <w:outlineLvl w:val="0"/>
        <w:rPr>
          <w:rFonts w:cstheme="minorHAnsi"/>
        </w:rPr>
      </w:pPr>
      <w:r w:rsidRPr="00146773">
        <w:rPr>
          <w:rFonts w:cstheme="minorHAnsi"/>
          <w:b/>
        </w:rPr>
        <w:t>Stipend:</w:t>
      </w:r>
      <w:r w:rsidR="003E2E81">
        <w:rPr>
          <w:rFonts w:cstheme="minorHAnsi"/>
          <w:b/>
        </w:rPr>
        <w:t xml:space="preserve"> </w:t>
      </w:r>
      <w:r w:rsidRPr="00146773">
        <w:rPr>
          <w:rFonts w:cstheme="minorHAnsi"/>
        </w:rPr>
        <w:t>$</w:t>
      </w:r>
      <w:r w:rsidR="001A47EF" w:rsidRPr="00146773">
        <w:rPr>
          <w:rFonts w:cstheme="minorHAnsi"/>
        </w:rPr>
        <w:t>3,500 Direct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584C57DD" w14:textId="086B68E2" w:rsidR="00F04856" w:rsidRPr="00146773" w:rsidRDefault="0005252C" w:rsidP="009514EE">
      <w:pPr>
        <w:rPr>
          <w:rFonts w:cstheme="minorHAnsi"/>
        </w:rPr>
      </w:pPr>
      <w:r w:rsidRPr="00146773">
        <w:rPr>
          <w:rFonts w:cstheme="minorHAnsi"/>
          <w:b/>
        </w:rPr>
        <w:lastRenderedPageBreak/>
        <w:t>Funding Source:</w:t>
      </w:r>
      <w:r w:rsidR="003E2E81">
        <w:rPr>
          <w:rFonts w:cstheme="minorHAnsi"/>
          <w:b/>
        </w:rPr>
        <w:t xml:space="preserve"> </w:t>
      </w:r>
      <w:r w:rsidR="00F04856"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3C5E6" w14:textId="77777777" w:rsidR="00611CBF" w:rsidRDefault="00611CBF" w:rsidP="007542D3">
      <w:r>
        <w:separator/>
      </w:r>
    </w:p>
  </w:endnote>
  <w:endnote w:type="continuationSeparator" w:id="0">
    <w:p w14:paraId="584C2E8C" w14:textId="77777777" w:rsidR="00611CBF" w:rsidRDefault="00611CBF"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03E9C" w14:textId="77777777" w:rsidR="00611CBF" w:rsidRDefault="00611CBF" w:rsidP="007542D3">
      <w:r>
        <w:separator/>
      </w:r>
    </w:p>
  </w:footnote>
  <w:footnote w:type="continuationSeparator" w:id="0">
    <w:p w14:paraId="1640120B" w14:textId="77777777" w:rsidR="00611CBF" w:rsidRDefault="00611CBF"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C198A"/>
    <w:multiLevelType w:val="hybridMultilevel"/>
    <w:tmpl w:val="D46E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45ECD"/>
    <w:rsid w:val="0005252C"/>
    <w:rsid w:val="00064D75"/>
    <w:rsid w:val="0008430A"/>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32CCD"/>
    <w:rsid w:val="002674DD"/>
    <w:rsid w:val="002C64FD"/>
    <w:rsid w:val="002E364E"/>
    <w:rsid w:val="002E5510"/>
    <w:rsid w:val="0031408A"/>
    <w:rsid w:val="00324084"/>
    <w:rsid w:val="003361A9"/>
    <w:rsid w:val="00342C8E"/>
    <w:rsid w:val="0037032E"/>
    <w:rsid w:val="003807C0"/>
    <w:rsid w:val="0038610D"/>
    <w:rsid w:val="00394B91"/>
    <w:rsid w:val="003A12E8"/>
    <w:rsid w:val="003B55D1"/>
    <w:rsid w:val="003C4B2E"/>
    <w:rsid w:val="003C608B"/>
    <w:rsid w:val="003C71FA"/>
    <w:rsid w:val="003D12EA"/>
    <w:rsid w:val="003D1E70"/>
    <w:rsid w:val="003D36A9"/>
    <w:rsid w:val="003E2E81"/>
    <w:rsid w:val="003F634D"/>
    <w:rsid w:val="0040226A"/>
    <w:rsid w:val="00417F27"/>
    <w:rsid w:val="00442BD9"/>
    <w:rsid w:val="004555AD"/>
    <w:rsid w:val="00475164"/>
    <w:rsid w:val="0047640F"/>
    <w:rsid w:val="0048547A"/>
    <w:rsid w:val="00485F66"/>
    <w:rsid w:val="00493C8C"/>
    <w:rsid w:val="004B66E9"/>
    <w:rsid w:val="004D6CD9"/>
    <w:rsid w:val="004E4E65"/>
    <w:rsid w:val="004F5AE8"/>
    <w:rsid w:val="00522226"/>
    <w:rsid w:val="005355BF"/>
    <w:rsid w:val="00535940"/>
    <w:rsid w:val="00581931"/>
    <w:rsid w:val="005A18EE"/>
    <w:rsid w:val="005C15CF"/>
    <w:rsid w:val="005E03F6"/>
    <w:rsid w:val="00602C44"/>
    <w:rsid w:val="00611CBF"/>
    <w:rsid w:val="00664E24"/>
    <w:rsid w:val="006E42F8"/>
    <w:rsid w:val="0072759F"/>
    <w:rsid w:val="007339E3"/>
    <w:rsid w:val="00733D6A"/>
    <w:rsid w:val="00745E17"/>
    <w:rsid w:val="007542D3"/>
    <w:rsid w:val="00790065"/>
    <w:rsid w:val="0079734B"/>
    <w:rsid w:val="007B1D0A"/>
    <w:rsid w:val="007C38DE"/>
    <w:rsid w:val="007C7745"/>
    <w:rsid w:val="00887D92"/>
    <w:rsid w:val="008A7E04"/>
    <w:rsid w:val="008B7308"/>
    <w:rsid w:val="008C05A6"/>
    <w:rsid w:val="008C32AB"/>
    <w:rsid w:val="008F1E0C"/>
    <w:rsid w:val="00901697"/>
    <w:rsid w:val="00904B71"/>
    <w:rsid w:val="0091617E"/>
    <w:rsid w:val="009253BB"/>
    <w:rsid w:val="00933B9D"/>
    <w:rsid w:val="009514EE"/>
    <w:rsid w:val="009916D4"/>
    <w:rsid w:val="009C0B02"/>
    <w:rsid w:val="009F1C66"/>
    <w:rsid w:val="009F355E"/>
    <w:rsid w:val="00A12939"/>
    <w:rsid w:val="00AB0156"/>
    <w:rsid w:val="00AB30F0"/>
    <w:rsid w:val="00AB6927"/>
    <w:rsid w:val="00AC1EF7"/>
    <w:rsid w:val="00AE1096"/>
    <w:rsid w:val="00AF01FB"/>
    <w:rsid w:val="00B20A75"/>
    <w:rsid w:val="00B24DA6"/>
    <w:rsid w:val="00B3238F"/>
    <w:rsid w:val="00B83EF6"/>
    <w:rsid w:val="00BA3D72"/>
    <w:rsid w:val="00BE7A08"/>
    <w:rsid w:val="00C05DB3"/>
    <w:rsid w:val="00C402EC"/>
    <w:rsid w:val="00C41862"/>
    <w:rsid w:val="00C84409"/>
    <w:rsid w:val="00C862A2"/>
    <w:rsid w:val="00CB0BFE"/>
    <w:rsid w:val="00CB0FD4"/>
    <w:rsid w:val="00CE0CC7"/>
    <w:rsid w:val="00CF48C2"/>
    <w:rsid w:val="00D32EA0"/>
    <w:rsid w:val="00D337A9"/>
    <w:rsid w:val="00D521F0"/>
    <w:rsid w:val="00D5220A"/>
    <w:rsid w:val="00DD1020"/>
    <w:rsid w:val="00DF0213"/>
    <w:rsid w:val="00DF08BC"/>
    <w:rsid w:val="00DF1471"/>
    <w:rsid w:val="00E07FEE"/>
    <w:rsid w:val="00E26469"/>
    <w:rsid w:val="00E61B6C"/>
    <w:rsid w:val="00E703E7"/>
    <w:rsid w:val="00EA3265"/>
    <w:rsid w:val="00EA441B"/>
    <w:rsid w:val="00EA50B5"/>
    <w:rsid w:val="00EC1078"/>
    <w:rsid w:val="00ED4B22"/>
    <w:rsid w:val="00EE7373"/>
    <w:rsid w:val="00F04856"/>
    <w:rsid w:val="00F20F08"/>
    <w:rsid w:val="00F62029"/>
    <w:rsid w:val="00F65964"/>
    <w:rsid w:val="00F74D5D"/>
    <w:rsid w:val="00FA1564"/>
    <w:rsid w:val="00FB43A7"/>
    <w:rsid w:val="00FF280A"/>
    <w:rsid w:val="00FF69E5"/>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2807">
      <w:bodyDiv w:val="1"/>
      <w:marLeft w:val="0"/>
      <w:marRight w:val="0"/>
      <w:marTop w:val="0"/>
      <w:marBottom w:val="0"/>
      <w:divBdr>
        <w:top w:val="none" w:sz="0" w:space="0" w:color="auto"/>
        <w:left w:val="none" w:sz="0" w:space="0" w:color="auto"/>
        <w:bottom w:val="none" w:sz="0" w:space="0" w:color="auto"/>
        <w:right w:val="none" w:sz="0" w:space="0" w:color="auto"/>
      </w:divBdr>
    </w:div>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 w:id="1734154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4FDA-D7A9-4758-875F-98FF8CEA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Fry, Katelynn</cp:lastModifiedBy>
  <cp:revision>4</cp:revision>
  <cp:lastPrinted>2018-09-25T14:09:00Z</cp:lastPrinted>
  <dcterms:created xsi:type="dcterms:W3CDTF">2021-01-06T17:53:00Z</dcterms:created>
  <dcterms:modified xsi:type="dcterms:W3CDTF">2021-01-08T19:36:00Z</dcterms:modified>
</cp:coreProperties>
</file>